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Layout w:type="fixed"/>
        <w:tblLook w:val="0000"/>
      </w:tblPr>
      <w:tblGrid>
        <w:gridCol w:w="2358"/>
        <w:gridCol w:w="2430"/>
        <w:gridCol w:w="2430"/>
        <w:gridCol w:w="1260"/>
        <w:gridCol w:w="1260"/>
        <w:gridCol w:w="1260"/>
      </w:tblGrid>
      <w:tr w:rsidR="00117FFA">
        <w:tblPrEx>
          <w:tblCellMar>
            <w:top w:w="0" w:type="dxa"/>
            <w:bottom w:w="0" w:type="dxa"/>
          </w:tblCellMar>
        </w:tblPrEx>
        <w:tc>
          <w:tcPr>
            <w:tcW w:w="10998" w:type="dxa"/>
            <w:gridSpan w:val="6"/>
            <w:tcBorders>
              <w:top w:val="single" w:sz="6" w:space="0" w:color="auto"/>
              <w:left w:val="single" w:sz="6" w:space="0" w:color="auto"/>
              <w:bottom w:val="nil"/>
              <w:right w:val="single" w:sz="6" w:space="0" w:color="auto"/>
            </w:tcBorders>
            <w:shd w:val="solid" w:color="000000" w:fill="auto"/>
          </w:tcPr>
          <w:p w:rsidR="00117FFA" w:rsidRDefault="00117FFA">
            <w:pPr>
              <w:spacing w:before="40" w:after="40"/>
              <w:jc w:val="center"/>
              <w:rPr>
                <w:color w:val="FFFFFF"/>
                <w:sz w:val="24"/>
                <w:szCs w:val="24"/>
              </w:rPr>
            </w:pPr>
            <w:r>
              <w:rPr>
                <w:b/>
                <w:bCs/>
                <w:color w:val="FFFFFF"/>
                <w:sz w:val="24"/>
                <w:szCs w:val="24"/>
              </w:rPr>
              <w:t>Harvard ManageMentor — PROJECT MANAGEMENT TOOLS</w:t>
            </w:r>
          </w:p>
        </w:tc>
      </w:tr>
      <w:tr w:rsidR="00117FFA">
        <w:tblPrEx>
          <w:tblCellMar>
            <w:top w:w="0" w:type="dxa"/>
            <w:bottom w:w="0" w:type="dxa"/>
          </w:tblCellMar>
        </w:tblPrEx>
        <w:tc>
          <w:tcPr>
            <w:tcW w:w="10998" w:type="dxa"/>
            <w:gridSpan w:val="6"/>
            <w:tcBorders>
              <w:top w:val="nil"/>
              <w:left w:val="single" w:sz="6" w:space="0" w:color="auto"/>
              <w:bottom w:val="nil"/>
              <w:right w:val="single" w:sz="6" w:space="0" w:color="auto"/>
            </w:tcBorders>
          </w:tcPr>
          <w:p w:rsidR="00117FFA" w:rsidRDefault="00117FFA">
            <w:pPr>
              <w:spacing w:before="120" w:after="120"/>
              <w:jc w:val="center"/>
              <w:rPr>
                <w:i/>
                <w:iCs/>
                <w:sz w:val="36"/>
                <w:szCs w:val="36"/>
              </w:rPr>
            </w:pPr>
            <w:r>
              <w:rPr>
                <w:i/>
                <w:iCs/>
                <w:sz w:val="36"/>
                <w:szCs w:val="36"/>
              </w:rPr>
              <w:t>Worksheet for Developing High-Level Estimates</w:t>
            </w:r>
          </w:p>
        </w:tc>
      </w:tr>
      <w:tr w:rsidR="00117FFA">
        <w:tblPrEx>
          <w:tblCellMar>
            <w:top w:w="0" w:type="dxa"/>
            <w:bottom w:w="0" w:type="dxa"/>
          </w:tblCellMar>
        </w:tblPrEx>
        <w:tc>
          <w:tcPr>
            <w:tcW w:w="10998" w:type="dxa"/>
            <w:gridSpan w:val="6"/>
            <w:tcBorders>
              <w:top w:val="double" w:sz="6" w:space="0" w:color="auto"/>
              <w:left w:val="single" w:sz="6" w:space="0" w:color="auto"/>
              <w:bottom w:val="double" w:sz="6" w:space="0" w:color="auto"/>
              <w:right w:val="single" w:sz="6" w:space="0" w:color="auto"/>
            </w:tcBorders>
          </w:tcPr>
          <w:p w:rsidR="00117FFA" w:rsidRDefault="00117FFA">
            <w:pPr>
              <w:spacing w:before="120" w:after="120"/>
              <w:rPr>
                <w:i/>
                <w:iCs/>
                <w:sz w:val="22"/>
                <w:szCs w:val="22"/>
              </w:rPr>
            </w:pPr>
            <w:r>
              <w:rPr>
                <w:i/>
                <w:iCs/>
                <w:sz w:val="22"/>
                <w:szCs w:val="22"/>
              </w:rPr>
              <w:t>Use this worksheet to divide a complex activity into smaller tasks—a process known as Work Breakdown Structure (WBS). Once tasks have been broken down into smaller, more manageable units, estimate the time, costs, and skills needed to complete each task. These high-level estimates will inform your project plan. Use multiple pages as needed.</w:t>
            </w:r>
          </w:p>
        </w:tc>
      </w:tr>
      <w:tr w:rsidR="00117FFA">
        <w:tblPrEx>
          <w:tblCellMar>
            <w:top w:w="0" w:type="dxa"/>
            <w:bottom w:w="0" w:type="dxa"/>
          </w:tblCellMar>
        </w:tblPrEx>
        <w:tc>
          <w:tcPr>
            <w:tcW w:w="10998" w:type="dxa"/>
            <w:gridSpan w:val="6"/>
            <w:tcBorders>
              <w:top w:val="double" w:sz="6" w:space="0" w:color="auto"/>
              <w:left w:val="single" w:sz="6" w:space="0" w:color="auto"/>
              <w:bottom w:val="single" w:sz="6" w:space="0" w:color="auto"/>
              <w:right w:val="single" w:sz="6" w:space="0" w:color="auto"/>
            </w:tcBorders>
          </w:tcPr>
          <w:p w:rsidR="00117FFA" w:rsidRDefault="00117FFA">
            <w:pPr>
              <w:spacing w:before="80" w:after="80"/>
              <w:rPr>
                <w:i/>
                <w:iCs/>
                <w:sz w:val="22"/>
                <w:szCs w:val="22"/>
              </w:rPr>
            </w:pPr>
            <w:r>
              <w:rPr>
                <w:b/>
                <w:bCs/>
                <w:sz w:val="22"/>
                <w:szCs w:val="22"/>
              </w:rPr>
              <w:t>Description of the overall project:</w:t>
            </w:r>
          </w:p>
        </w:tc>
      </w:tr>
      <w:tr w:rsidR="00117FFA">
        <w:tblPrEx>
          <w:tblCellMar>
            <w:top w:w="0" w:type="dxa"/>
            <w:bottom w:w="0" w:type="dxa"/>
          </w:tblCellMar>
        </w:tblPrEx>
        <w:trPr>
          <w:cantSplit/>
          <w:trHeight w:val="1440"/>
        </w:trPr>
        <w:tc>
          <w:tcPr>
            <w:tcW w:w="10998" w:type="dxa"/>
            <w:gridSpan w:val="6"/>
            <w:tcBorders>
              <w:top w:val="single" w:sz="6" w:space="0" w:color="auto"/>
              <w:left w:val="single" w:sz="6" w:space="0" w:color="auto"/>
              <w:bottom w:val="single" w:sz="12" w:space="0" w:color="auto"/>
              <w:right w:val="single" w:sz="6" w:space="0" w:color="auto"/>
            </w:tcBorders>
          </w:tcPr>
          <w:p w:rsidR="00117FFA" w:rsidRDefault="009A1C18">
            <w:pPr>
              <w:rPr>
                <w:rFonts w:ascii="Arial" w:hAnsi="Arial" w:cs="Arial"/>
              </w:rPr>
            </w:pPr>
            <w:r>
              <w:rPr>
                <w:rFonts w:ascii="Arial" w:hAnsi="Arial" w:cs="Arial"/>
              </w:rPr>
              <w:t xml:space="preserve">To fundraise approximately $600, educate the public about the cause of the educational garden, construct and complete the hardscape of the learning garden for the UF extension. </w:t>
            </w:r>
          </w:p>
        </w:tc>
      </w:tr>
      <w:tr w:rsidR="00117FFA">
        <w:tblPrEx>
          <w:tblCellMar>
            <w:top w:w="0" w:type="dxa"/>
            <w:bottom w:w="0" w:type="dxa"/>
          </w:tblCellMar>
        </w:tblPrEx>
        <w:trPr>
          <w:cantSplit/>
        </w:trPr>
        <w:tc>
          <w:tcPr>
            <w:tcW w:w="10998" w:type="dxa"/>
            <w:gridSpan w:val="6"/>
            <w:tcBorders>
              <w:top w:val="single" w:sz="12" w:space="0" w:color="auto"/>
              <w:left w:val="single" w:sz="6" w:space="0" w:color="auto"/>
              <w:bottom w:val="single" w:sz="6" w:space="0" w:color="auto"/>
              <w:right w:val="single" w:sz="6" w:space="0" w:color="auto"/>
            </w:tcBorders>
          </w:tcPr>
          <w:p w:rsidR="00117FFA" w:rsidRDefault="00117FFA">
            <w:pPr>
              <w:spacing w:before="80" w:after="80"/>
              <w:rPr>
                <w:sz w:val="24"/>
                <w:szCs w:val="24"/>
              </w:rPr>
            </w:pPr>
            <w:r>
              <w:rPr>
                <w:b/>
                <w:bCs/>
                <w:sz w:val="24"/>
                <w:szCs w:val="24"/>
              </w:rPr>
              <w:t>What is the smallest unit of time that you want to schedule?</w:t>
            </w:r>
            <w:r>
              <w:rPr>
                <w:sz w:val="24"/>
                <w:szCs w:val="24"/>
              </w:rPr>
              <w:t xml:space="preserve"> </w:t>
            </w:r>
            <w:r>
              <w:rPr>
                <w:i/>
                <w:iCs/>
              </w:rPr>
              <w:t>For example, if you want to schedule to the nearest day, you will need to break down work to the point where tasks take a day to perform.</w:t>
            </w:r>
            <w:r>
              <w:rPr>
                <w:sz w:val="24"/>
                <w:szCs w:val="24"/>
              </w:rPr>
              <w:t xml:space="preserve"> </w:t>
            </w:r>
          </w:p>
        </w:tc>
      </w:tr>
      <w:tr w:rsidR="00117FFA">
        <w:tblPrEx>
          <w:tblCellMar>
            <w:top w:w="0" w:type="dxa"/>
            <w:bottom w:w="0" w:type="dxa"/>
          </w:tblCellMar>
        </w:tblPrEx>
        <w:trPr>
          <w:trHeight w:val="720"/>
        </w:trPr>
        <w:tc>
          <w:tcPr>
            <w:tcW w:w="10998" w:type="dxa"/>
            <w:gridSpan w:val="6"/>
            <w:tcBorders>
              <w:top w:val="single" w:sz="6" w:space="0" w:color="auto"/>
              <w:left w:val="single" w:sz="4" w:space="0" w:color="auto"/>
              <w:bottom w:val="single" w:sz="4" w:space="0" w:color="auto"/>
              <w:right w:val="single" w:sz="4" w:space="0" w:color="auto"/>
            </w:tcBorders>
          </w:tcPr>
          <w:p w:rsidR="00117FFA" w:rsidRDefault="00117FFA">
            <w:pPr>
              <w:rPr>
                <w:rFonts w:ascii="Arial" w:hAnsi="Arial" w:cs="Arial"/>
              </w:rPr>
            </w:pPr>
          </w:p>
        </w:tc>
      </w:tr>
      <w:tr w:rsidR="00117FFA">
        <w:tblPrEx>
          <w:tblCellMar>
            <w:top w:w="0" w:type="dxa"/>
            <w:bottom w:w="0" w:type="dxa"/>
          </w:tblCellMar>
        </w:tblPrEx>
        <w:trPr>
          <w:cantSplit/>
        </w:trPr>
        <w:tc>
          <w:tcPr>
            <w:tcW w:w="2358" w:type="dxa"/>
            <w:tcBorders>
              <w:top w:val="single" w:sz="4" w:space="0" w:color="auto"/>
              <w:left w:val="single" w:sz="6" w:space="0" w:color="auto"/>
              <w:bottom w:val="single" w:sz="6" w:space="0" w:color="auto"/>
              <w:right w:val="single" w:sz="6" w:space="0" w:color="auto"/>
            </w:tcBorders>
          </w:tcPr>
          <w:p w:rsidR="00117FFA" w:rsidRDefault="00117FFA">
            <w:pPr>
              <w:spacing w:before="60" w:after="60"/>
              <w:jc w:val="center"/>
              <w:rPr>
                <w:b/>
                <w:bCs/>
                <w:sz w:val="22"/>
                <w:szCs w:val="22"/>
              </w:rPr>
            </w:pPr>
            <w:r>
              <w:rPr>
                <w:b/>
                <w:bCs/>
                <w:sz w:val="22"/>
                <w:szCs w:val="22"/>
              </w:rPr>
              <w:t>Major Task</w:t>
            </w:r>
          </w:p>
        </w:tc>
        <w:tc>
          <w:tcPr>
            <w:tcW w:w="2430" w:type="dxa"/>
            <w:tcBorders>
              <w:top w:val="single" w:sz="4" w:space="0" w:color="auto"/>
              <w:left w:val="single" w:sz="6" w:space="0" w:color="auto"/>
              <w:bottom w:val="single" w:sz="6" w:space="0" w:color="auto"/>
              <w:right w:val="single" w:sz="6" w:space="0" w:color="auto"/>
            </w:tcBorders>
          </w:tcPr>
          <w:p w:rsidR="00117FFA" w:rsidRDefault="00117FFA">
            <w:pPr>
              <w:spacing w:before="60" w:after="60"/>
              <w:jc w:val="center"/>
              <w:rPr>
                <w:b/>
                <w:bCs/>
                <w:sz w:val="22"/>
                <w:szCs w:val="22"/>
              </w:rPr>
            </w:pPr>
            <w:r>
              <w:rPr>
                <w:b/>
                <w:bCs/>
                <w:sz w:val="22"/>
                <w:szCs w:val="22"/>
              </w:rPr>
              <w:t xml:space="preserve">Level 1 </w:t>
            </w:r>
            <w:r>
              <w:rPr>
                <w:b/>
                <w:bCs/>
                <w:sz w:val="22"/>
                <w:szCs w:val="22"/>
              </w:rPr>
              <w:br/>
              <w:t>Subtasks</w:t>
            </w:r>
          </w:p>
        </w:tc>
        <w:tc>
          <w:tcPr>
            <w:tcW w:w="2430" w:type="dxa"/>
            <w:tcBorders>
              <w:top w:val="single" w:sz="4" w:space="0" w:color="auto"/>
              <w:left w:val="single" w:sz="6" w:space="0" w:color="auto"/>
              <w:bottom w:val="single" w:sz="6" w:space="0" w:color="auto"/>
              <w:right w:val="single" w:sz="6" w:space="0" w:color="auto"/>
            </w:tcBorders>
          </w:tcPr>
          <w:p w:rsidR="00117FFA" w:rsidRDefault="00117FFA">
            <w:pPr>
              <w:spacing w:before="60" w:after="60"/>
              <w:jc w:val="center"/>
              <w:rPr>
                <w:b/>
                <w:bCs/>
                <w:sz w:val="22"/>
                <w:szCs w:val="22"/>
              </w:rPr>
            </w:pPr>
            <w:r>
              <w:rPr>
                <w:b/>
                <w:bCs/>
                <w:sz w:val="22"/>
                <w:szCs w:val="22"/>
              </w:rPr>
              <w:t xml:space="preserve">Level 2 </w:t>
            </w:r>
            <w:r>
              <w:rPr>
                <w:b/>
                <w:bCs/>
                <w:sz w:val="22"/>
                <w:szCs w:val="22"/>
              </w:rPr>
              <w:br/>
              <w:t>Subtasks</w:t>
            </w:r>
          </w:p>
        </w:tc>
        <w:tc>
          <w:tcPr>
            <w:tcW w:w="1260" w:type="dxa"/>
            <w:tcBorders>
              <w:top w:val="single" w:sz="4" w:space="0" w:color="auto"/>
              <w:left w:val="single" w:sz="6" w:space="0" w:color="auto"/>
              <w:bottom w:val="single" w:sz="6" w:space="0" w:color="auto"/>
              <w:right w:val="single" w:sz="6" w:space="0" w:color="auto"/>
            </w:tcBorders>
          </w:tcPr>
          <w:p w:rsidR="00117FFA" w:rsidRDefault="00117FFA">
            <w:pPr>
              <w:spacing w:before="60" w:after="60"/>
              <w:jc w:val="center"/>
              <w:rPr>
                <w:b/>
                <w:bCs/>
                <w:sz w:val="22"/>
                <w:szCs w:val="22"/>
              </w:rPr>
            </w:pPr>
            <w:r>
              <w:rPr>
                <w:b/>
                <w:bCs/>
                <w:sz w:val="22"/>
                <w:szCs w:val="22"/>
              </w:rPr>
              <w:t xml:space="preserve">Level 2 </w:t>
            </w:r>
            <w:r>
              <w:rPr>
                <w:b/>
                <w:bCs/>
                <w:sz w:val="22"/>
                <w:szCs w:val="22"/>
              </w:rPr>
              <w:br/>
              <w:t xml:space="preserve">Subtask </w:t>
            </w:r>
          </w:p>
          <w:p w:rsidR="00117FFA" w:rsidRDefault="00117FFA">
            <w:pPr>
              <w:spacing w:before="60"/>
              <w:jc w:val="center"/>
              <w:rPr>
                <w:b/>
                <w:bCs/>
                <w:sz w:val="22"/>
                <w:szCs w:val="22"/>
              </w:rPr>
            </w:pPr>
            <w:r>
              <w:rPr>
                <w:b/>
                <w:bCs/>
                <w:sz w:val="22"/>
                <w:szCs w:val="22"/>
              </w:rPr>
              <w:t>Duration</w:t>
            </w:r>
          </w:p>
          <w:p w:rsidR="00117FFA" w:rsidRDefault="00117FFA">
            <w:pPr>
              <w:spacing w:after="60"/>
              <w:jc w:val="center"/>
              <w:rPr>
                <w:b/>
                <w:bCs/>
                <w:sz w:val="22"/>
                <w:szCs w:val="22"/>
              </w:rPr>
            </w:pPr>
            <w:r>
              <w:rPr>
                <w:b/>
                <w:bCs/>
                <w:sz w:val="22"/>
                <w:szCs w:val="22"/>
              </w:rPr>
              <w:t>(hours/days/weeks)</w:t>
            </w:r>
          </w:p>
        </w:tc>
        <w:tc>
          <w:tcPr>
            <w:tcW w:w="1260" w:type="dxa"/>
            <w:tcBorders>
              <w:top w:val="single" w:sz="4" w:space="0" w:color="auto"/>
              <w:left w:val="single" w:sz="6" w:space="0" w:color="auto"/>
              <w:bottom w:val="single" w:sz="6" w:space="0" w:color="auto"/>
              <w:right w:val="single" w:sz="6" w:space="0" w:color="auto"/>
            </w:tcBorders>
          </w:tcPr>
          <w:p w:rsidR="00117FFA" w:rsidRDefault="00117FFA">
            <w:pPr>
              <w:spacing w:before="60" w:after="60"/>
              <w:jc w:val="center"/>
              <w:rPr>
                <w:b/>
                <w:bCs/>
                <w:sz w:val="22"/>
                <w:szCs w:val="22"/>
              </w:rPr>
            </w:pPr>
            <w:r>
              <w:rPr>
                <w:b/>
                <w:bCs/>
                <w:sz w:val="22"/>
                <w:szCs w:val="22"/>
              </w:rPr>
              <w:t xml:space="preserve">Level 2 </w:t>
            </w:r>
            <w:r>
              <w:rPr>
                <w:b/>
                <w:bCs/>
                <w:sz w:val="22"/>
                <w:szCs w:val="22"/>
              </w:rPr>
              <w:br/>
              <w:t xml:space="preserve">Subtask </w:t>
            </w:r>
          </w:p>
          <w:p w:rsidR="00117FFA" w:rsidRDefault="00117FFA">
            <w:pPr>
              <w:spacing w:before="60" w:after="60"/>
              <w:jc w:val="center"/>
              <w:rPr>
                <w:b/>
                <w:bCs/>
                <w:sz w:val="22"/>
                <w:szCs w:val="22"/>
              </w:rPr>
            </w:pPr>
            <w:r>
              <w:rPr>
                <w:b/>
                <w:bCs/>
                <w:sz w:val="22"/>
                <w:szCs w:val="22"/>
              </w:rPr>
              <w:t>Costs</w:t>
            </w:r>
          </w:p>
        </w:tc>
        <w:tc>
          <w:tcPr>
            <w:tcW w:w="1260" w:type="dxa"/>
            <w:tcBorders>
              <w:top w:val="single" w:sz="4" w:space="0" w:color="auto"/>
              <w:left w:val="single" w:sz="6" w:space="0" w:color="auto"/>
              <w:bottom w:val="single" w:sz="6" w:space="0" w:color="auto"/>
              <w:right w:val="single" w:sz="6" w:space="0" w:color="auto"/>
            </w:tcBorders>
          </w:tcPr>
          <w:p w:rsidR="00117FFA" w:rsidRDefault="00117FFA">
            <w:pPr>
              <w:spacing w:before="60" w:after="60"/>
              <w:jc w:val="center"/>
              <w:rPr>
                <w:b/>
                <w:bCs/>
                <w:sz w:val="22"/>
                <w:szCs w:val="22"/>
              </w:rPr>
            </w:pPr>
            <w:r>
              <w:rPr>
                <w:b/>
                <w:bCs/>
                <w:sz w:val="22"/>
                <w:szCs w:val="22"/>
              </w:rPr>
              <w:t xml:space="preserve">Level 2 </w:t>
            </w:r>
            <w:r>
              <w:rPr>
                <w:b/>
                <w:bCs/>
                <w:sz w:val="22"/>
                <w:szCs w:val="22"/>
              </w:rPr>
              <w:br/>
              <w:t xml:space="preserve">Subtask </w:t>
            </w:r>
          </w:p>
          <w:p w:rsidR="00117FFA" w:rsidRDefault="00117FFA">
            <w:pPr>
              <w:spacing w:before="60"/>
              <w:jc w:val="center"/>
              <w:rPr>
                <w:b/>
                <w:bCs/>
                <w:sz w:val="22"/>
                <w:szCs w:val="22"/>
              </w:rPr>
            </w:pPr>
            <w:r>
              <w:rPr>
                <w:b/>
                <w:bCs/>
                <w:sz w:val="22"/>
                <w:szCs w:val="22"/>
              </w:rPr>
              <w:t>Skills Needed</w:t>
            </w: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9A1C18">
            <w:pPr>
              <w:rPr>
                <w:rFonts w:ascii="Arial" w:hAnsi="Arial" w:cs="Arial"/>
              </w:rPr>
            </w:pPr>
            <w:r>
              <w:rPr>
                <w:rFonts w:ascii="Arial" w:hAnsi="Arial" w:cs="Arial"/>
              </w:rPr>
              <w:t>Fundraising approx. $600 to buy the materials for the hardscapes.</w:t>
            </w:r>
          </w:p>
        </w:tc>
        <w:tc>
          <w:tcPr>
            <w:tcW w:w="2430" w:type="dxa"/>
            <w:tcBorders>
              <w:top w:val="nil"/>
              <w:left w:val="single" w:sz="6" w:space="0" w:color="auto"/>
              <w:bottom w:val="nil"/>
              <w:right w:val="single" w:sz="6" w:space="0" w:color="auto"/>
            </w:tcBorders>
          </w:tcPr>
          <w:p w:rsidR="00117FFA" w:rsidRDefault="009A1C18">
            <w:pPr>
              <w:rPr>
                <w:rFonts w:ascii="Arial" w:hAnsi="Arial" w:cs="Arial"/>
              </w:rPr>
            </w:pPr>
            <w:r>
              <w:rPr>
                <w:rFonts w:ascii="Arial" w:hAnsi="Arial" w:cs="Arial"/>
              </w:rPr>
              <w:t xml:space="preserve">Getting food/drinks donated and find a place to hold the fundraiser at. </w:t>
            </w:r>
          </w:p>
        </w:tc>
        <w:tc>
          <w:tcPr>
            <w:tcW w:w="2430" w:type="dxa"/>
            <w:tcBorders>
              <w:top w:val="single" w:sz="6" w:space="0" w:color="auto"/>
              <w:left w:val="single" w:sz="6" w:space="0" w:color="auto"/>
              <w:bottom w:val="single" w:sz="6" w:space="0" w:color="C0C0C0"/>
              <w:right w:val="single" w:sz="6" w:space="0" w:color="auto"/>
            </w:tcBorders>
          </w:tcPr>
          <w:p w:rsidR="00117FFA" w:rsidRDefault="009A1C18">
            <w:pPr>
              <w:rPr>
                <w:rFonts w:ascii="Arial" w:hAnsi="Arial" w:cs="Arial"/>
              </w:rPr>
            </w:pPr>
            <w:r>
              <w:rPr>
                <w:rFonts w:ascii="Arial" w:hAnsi="Arial" w:cs="Arial"/>
              </w:rPr>
              <w:t>Holding the fundraiser at Winndixie October 18</w:t>
            </w:r>
            <w:r w:rsidRPr="009A1C18">
              <w:rPr>
                <w:rFonts w:ascii="Arial" w:hAnsi="Arial" w:cs="Arial"/>
                <w:vertAlign w:val="superscript"/>
              </w:rPr>
              <w:t>th</w:t>
            </w:r>
            <w:r>
              <w:rPr>
                <w:rFonts w:ascii="Arial" w:hAnsi="Arial" w:cs="Arial"/>
              </w:rPr>
              <w:t xml:space="preserve"> and 19</w:t>
            </w:r>
            <w:r w:rsidRPr="009A1C18">
              <w:rPr>
                <w:rFonts w:ascii="Arial" w:hAnsi="Arial" w:cs="Arial"/>
                <w:vertAlign w:val="superscript"/>
              </w:rPr>
              <w:t>th</w:t>
            </w:r>
          </w:p>
        </w:tc>
        <w:tc>
          <w:tcPr>
            <w:tcW w:w="1260" w:type="dxa"/>
            <w:tcBorders>
              <w:top w:val="single" w:sz="6" w:space="0" w:color="auto"/>
              <w:left w:val="single" w:sz="6" w:space="0" w:color="auto"/>
              <w:bottom w:val="single" w:sz="6" w:space="0" w:color="C0C0C0"/>
              <w:right w:val="single" w:sz="6" w:space="0" w:color="auto"/>
            </w:tcBorders>
          </w:tcPr>
          <w:p w:rsidR="00117FFA" w:rsidRDefault="009A1C18">
            <w:pPr>
              <w:rPr>
                <w:rFonts w:ascii="Arial" w:hAnsi="Arial" w:cs="Arial"/>
              </w:rPr>
            </w:pPr>
            <w:r>
              <w:rPr>
                <w:rFonts w:ascii="Arial" w:hAnsi="Arial" w:cs="Arial"/>
              </w:rPr>
              <w:t>Over 2 days Saturday and Sunday</w:t>
            </w:r>
          </w:p>
        </w:tc>
        <w:tc>
          <w:tcPr>
            <w:tcW w:w="1260" w:type="dxa"/>
            <w:tcBorders>
              <w:top w:val="single" w:sz="6" w:space="0" w:color="auto"/>
              <w:left w:val="single" w:sz="6" w:space="0" w:color="auto"/>
              <w:bottom w:val="single" w:sz="6" w:space="0" w:color="C0C0C0"/>
              <w:right w:val="single" w:sz="6" w:space="0" w:color="auto"/>
            </w:tcBorders>
          </w:tcPr>
          <w:p w:rsidR="00117FFA" w:rsidRDefault="009A1C18">
            <w:pPr>
              <w:rPr>
                <w:rFonts w:ascii="Arial" w:hAnsi="Arial" w:cs="Arial"/>
              </w:rPr>
            </w:pPr>
            <w:r>
              <w:rPr>
                <w:rFonts w:ascii="Arial" w:hAnsi="Arial" w:cs="Arial"/>
              </w:rPr>
              <w:t>None, everything donated.</w:t>
            </w:r>
          </w:p>
        </w:tc>
        <w:tc>
          <w:tcPr>
            <w:tcW w:w="1260" w:type="dxa"/>
            <w:tcBorders>
              <w:top w:val="single" w:sz="6" w:space="0" w:color="auto"/>
              <w:left w:val="single" w:sz="6" w:space="0" w:color="auto"/>
              <w:bottom w:val="single" w:sz="6" w:space="0" w:color="C0C0C0"/>
              <w:right w:val="single" w:sz="6" w:space="0" w:color="auto"/>
            </w:tcBorders>
          </w:tcPr>
          <w:p w:rsidR="00117FFA" w:rsidRDefault="009A1C18">
            <w:pPr>
              <w:rPr>
                <w:rFonts w:ascii="Arial" w:hAnsi="Arial" w:cs="Arial"/>
              </w:rPr>
            </w:pPr>
            <w:r>
              <w:rPr>
                <w:rFonts w:ascii="Arial" w:hAnsi="Arial" w:cs="Arial"/>
              </w:rPr>
              <w:t>Salesmanship, public speaking.</w:t>
            </w: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9A1C18">
            <w:pPr>
              <w:rPr>
                <w:rFonts w:ascii="Arial" w:hAnsi="Arial" w:cs="Arial"/>
              </w:rPr>
            </w:pPr>
            <w:r>
              <w:rPr>
                <w:rFonts w:ascii="Arial" w:hAnsi="Arial" w:cs="Arial"/>
              </w:rPr>
              <w:t>Getting the education and knowledge about the education garden out to the public</w:t>
            </w:r>
          </w:p>
        </w:tc>
        <w:tc>
          <w:tcPr>
            <w:tcW w:w="2430" w:type="dxa"/>
            <w:tcBorders>
              <w:top w:val="nil"/>
              <w:left w:val="single" w:sz="6" w:space="0" w:color="auto"/>
              <w:bottom w:val="nil"/>
              <w:right w:val="single" w:sz="6" w:space="0" w:color="auto"/>
            </w:tcBorders>
          </w:tcPr>
          <w:p w:rsidR="00117FFA" w:rsidRDefault="009A1C18">
            <w:pPr>
              <w:rPr>
                <w:rFonts w:ascii="Arial" w:hAnsi="Arial" w:cs="Arial"/>
              </w:rPr>
            </w:pPr>
            <w:r>
              <w:rPr>
                <w:rFonts w:ascii="Arial" w:hAnsi="Arial" w:cs="Arial"/>
              </w:rPr>
              <w:t>Obtaining the knowledge about the garden to be able to speak and educate on it.</w:t>
            </w:r>
          </w:p>
        </w:tc>
        <w:tc>
          <w:tcPr>
            <w:tcW w:w="2430" w:type="dxa"/>
            <w:tcBorders>
              <w:top w:val="single" w:sz="6" w:space="0" w:color="C0C0C0"/>
              <w:left w:val="single" w:sz="6" w:space="0" w:color="auto"/>
              <w:bottom w:val="single" w:sz="6" w:space="0" w:color="C0C0C0"/>
              <w:right w:val="single" w:sz="6" w:space="0" w:color="auto"/>
            </w:tcBorders>
          </w:tcPr>
          <w:p w:rsidR="00117FFA" w:rsidRDefault="009A1C18">
            <w:pPr>
              <w:rPr>
                <w:rFonts w:ascii="Arial" w:hAnsi="Arial" w:cs="Arial"/>
              </w:rPr>
            </w:pPr>
            <w:r>
              <w:rPr>
                <w:rFonts w:ascii="Arial" w:hAnsi="Arial" w:cs="Arial"/>
              </w:rPr>
              <w:t>Using the fundraiser as an outlet to educate and make the public aware of the cause.</w:t>
            </w:r>
          </w:p>
        </w:tc>
        <w:tc>
          <w:tcPr>
            <w:tcW w:w="1260" w:type="dxa"/>
            <w:tcBorders>
              <w:top w:val="single" w:sz="6" w:space="0" w:color="C0C0C0"/>
              <w:left w:val="single" w:sz="6" w:space="0" w:color="auto"/>
              <w:bottom w:val="single" w:sz="6" w:space="0" w:color="C0C0C0"/>
              <w:right w:val="single" w:sz="6" w:space="0" w:color="auto"/>
            </w:tcBorders>
          </w:tcPr>
          <w:p w:rsidR="00117FFA" w:rsidRDefault="009A1C18">
            <w:pPr>
              <w:rPr>
                <w:rFonts w:ascii="Arial" w:hAnsi="Arial" w:cs="Arial"/>
              </w:rPr>
            </w:pPr>
            <w:r>
              <w:rPr>
                <w:rFonts w:ascii="Arial" w:hAnsi="Arial" w:cs="Arial"/>
              </w:rPr>
              <w:t>Over 2 days Saturday and Sunday Oct. 18</w:t>
            </w:r>
            <w:r w:rsidRPr="009A1C18">
              <w:rPr>
                <w:rFonts w:ascii="Arial" w:hAnsi="Arial" w:cs="Arial"/>
                <w:vertAlign w:val="superscript"/>
              </w:rPr>
              <w:t>th</w:t>
            </w:r>
            <w:r>
              <w:rPr>
                <w:rFonts w:ascii="Arial" w:hAnsi="Arial" w:cs="Arial"/>
              </w:rPr>
              <w:t xml:space="preserve"> and 19</w:t>
            </w:r>
            <w:r w:rsidRPr="009A1C18">
              <w:rPr>
                <w:rFonts w:ascii="Arial" w:hAnsi="Arial" w:cs="Arial"/>
                <w:vertAlign w:val="superscript"/>
              </w:rPr>
              <w:t>th</w:t>
            </w:r>
          </w:p>
        </w:tc>
        <w:tc>
          <w:tcPr>
            <w:tcW w:w="1260" w:type="dxa"/>
            <w:tcBorders>
              <w:top w:val="single" w:sz="6" w:space="0" w:color="C0C0C0"/>
              <w:left w:val="single" w:sz="6" w:space="0" w:color="auto"/>
              <w:bottom w:val="single" w:sz="6" w:space="0" w:color="C0C0C0"/>
              <w:right w:val="single" w:sz="6" w:space="0" w:color="auto"/>
            </w:tcBorders>
          </w:tcPr>
          <w:p w:rsidR="00117FFA" w:rsidRDefault="009A1C18">
            <w:pPr>
              <w:rPr>
                <w:rFonts w:ascii="Arial" w:hAnsi="Arial" w:cs="Arial"/>
              </w:rPr>
            </w:pPr>
            <w:r>
              <w:rPr>
                <w:rFonts w:ascii="Arial" w:hAnsi="Arial" w:cs="Arial"/>
              </w:rPr>
              <w:t>None.</w:t>
            </w:r>
          </w:p>
        </w:tc>
        <w:tc>
          <w:tcPr>
            <w:tcW w:w="1260" w:type="dxa"/>
            <w:tcBorders>
              <w:top w:val="single" w:sz="6" w:space="0" w:color="C0C0C0"/>
              <w:left w:val="single" w:sz="6" w:space="0" w:color="auto"/>
              <w:bottom w:val="single" w:sz="6" w:space="0" w:color="C0C0C0"/>
              <w:right w:val="single" w:sz="6" w:space="0" w:color="auto"/>
            </w:tcBorders>
          </w:tcPr>
          <w:p w:rsidR="00117FFA" w:rsidRDefault="009A1C18">
            <w:pPr>
              <w:rPr>
                <w:rFonts w:ascii="Arial" w:hAnsi="Arial" w:cs="Arial"/>
              </w:rPr>
            </w:pPr>
            <w:r>
              <w:rPr>
                <w:rFonts w:ascii="Arial" w:hAnsi="Arial" w:cs="Arial"/>
              </w:rPr>
              <w:t>Public speaking.</w:t>
            </w: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9A1C18">
            <w:pPr>
              <w:rPr>
                <w:rFonts w:ascii="Arial" w:hAnsi="Arial" w:cs="Arial"/>
              </w:rPr>
            </w:pPr>
            <w:r>
              <w:rPr>
                <w:rFonts w:ascii="Arial" w:hAnsi="Arial" w:cs="Arial"/>
              </w:rPr>
              <w:t>Buying the materials for the hardscapes.</w:t>
            </w:r>
          </w:p>
        </w:tc>
        <w:tc>
          <w:tcPr>
            <w:tcW w:w="2430" w:type="dxa"/>
            <w:tcBorders>
              <w:top w:val="nil"/>
              <w:left w:val="single" w:sz="6" w:space="0" w:color="auto"/>
              <w:bottom w:val="nil"/>
              <w:right w:val="single" w:sz="6" w:space="0" w:color="auto"/>
            </w:tcBorders>
          </w:tcPr>
          <w:p w:rsidR="00117FFA" w:rsidRDefault="00117FFA">
            <w:pPr>
              <w:rPr>
                <w:rFonts w:ascii="Arial" w:hAnsi="Arial" w:cs="Arial"/>
              </w:rPr>
            </w:pPr>
            <w:r>
              <w:rPr>
                <w:rFonts w:ascii="Arial" w:hAnsi="Arial" w:cs="Arial"/>
              </w:rPr>
              <w:t>Getting funds together.</w:t>
            </w: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r>
              <w:rPr>
                <w:rFonts w:ascii="Arial" w:hAnsi="Arial" w:cs="Arial"/>
              </w:rPr>
              <w:t xml:space="preserve">Talking with a local store to see if we can get materials at cost or discounted. </w:t>
            </w: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r>
              <w:rPr>
                <w:rFonts w:ascii="Arial" w:hAnsi="Arial" w:cs="Arial"/>
              </w:rPr>
              <w:t>Hard to estimate. Could be several hours to days.</w:t>
            </w: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r>
              <w:rPr>
                <w:rFonts w:ascii="Arial" w:hAnsi="Arial" w:cs="Arial"/>
              </w:rPr>
              <w:t>Approx. $600</w:t>
            </w: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r>
              <w:rPr>
                <w:rFonts w:ascii="Arial" w:hAnsi="Arial" w:cs="Arial"/>
              </w:rPr>
              <w:t>Negotiating, bargain shopping.</w:t>
            </w: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9A1C18">
            <w:pPr>
              <w:rPr>
                <w:rFonts w:ascii="Arial" w:hAnsi="Arial" w:cs="Arial"/>
              </w:rPr>
            </w:pPr>
            <w:r>
              <w:rPr>
                <w:rFonts w:ascii="Arial" w:hAnsi="Arial" w:cs="Arial"/>
              </w:rPr>
              <w:t xml:space="preserve">Constructing the hardscapes. </w:t>
            </w:r>
          </w:p>
        </w:tc>
        <w:tc>
          <w:tcPr>
            <w:tcW w:w="2430" w:type="dxa"/>
            <w:tcBorders>
              <w:top w:val="nil"/>
              <w:left w:val="single" w:sz="6" w:space="0" w:color="auto"/>
              <w:bottom w:val="nil"/>
              <w:right w:val="single" w:sz="6" w:space="0" w:color="auto"/>
            </w:tcBorders>
          </w:tcPr>
          <w:p w:rsidR="00117FFA" w:rsidRDefault="00117FFA">
            <w:pPr>
              <w:rPr>
                <w:rFonts w:ascii="Arial" w:hAnsi="Arial" w:cs="Arial"/>
              </w:rPr>
            </w:pPr>
            <w:r>
              <w:rPr>
                <w:rFonts w:ascii="Arial" w:hAnsi="Arial" w:cs="Arial"/>
              </w:rPr>
              <w:t>Getting the materials and volunteers together.</w:t>
            </w: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r>
              <w:rPr>
                <w:rFonts w:ascii="Arial" w:hAnsi="Arial" w:cs="Arial"/>
              </w:rPr>
              <w:t>Doing the actual construction of hardscapes.</w:t>
            </w: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r>
              <w:rPr>
                <w:rFonts w:ascii="Arial" w:hAnsi="Arial" w:cs="Arial"/>
              </w:rPr>
              <w:t>Over a several day period.</w:t>
            </w: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r>
              <w:rPr>
                <w:rFonts w:ascii="Arial" w:hAnsi="Arial" w:cs="Arial"/>
              </w:rPr>
              <w:t>None, time will be donated.</w:t>
            </w: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r>
              <w:rPr>
                <w:rFonts w:ascii="Arial" w:hAnsi="Arial" w:cs="Arial"/>
              </w:rPr>
              <w:t>Teamwork, knowledge of building.</w:t>
            </w: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auto"/>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auto"/>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single" w:sz="6" w:space="0" w:color="C0C0C0"/>
              <w:right w:val="single" w:sz="6" w:space="0" w:color="auto"/>
            </w:tcBorders>
          </w:tcPr>
          <w:p w:rsidR="00117FFA" w:rsidRDefault="00117FFA">
            <w:pPr>
              <w:rPr>
                <w:rFonts w:ascii="Arial" w:hAnsi="Arial" w:cs="Arial"/>
              </w:rPr>
            </w:pPr>
          </w:p>
        </w:tc>
      </w:tr>
      <w:tr w:rsidR="00117FFA">
        <w:tblPrEx>
          <w:tblCellMar>
            <w:top w:w="0" w:type="dxa"/>
            <w:bottom w:w="0" w:type="dxa"/>
          </w:tblCellMar>
        </w:tblPrEx>
        <w:trPr>
          <w:cantSplit/>
          <w:trHeight w:val="480"/>
        </w:trPr>
        <w:tc>
          <w:tcPr>
            <w:tcW w:w="2358"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nil"/>
              <w:left w:val="single" w:sz="6" w:space="0" w:color="auto"/>
              <w:bottom w:val="nil"/>
              <w:right w:val="single" w:sz="6" w:space="0" w:color="auto"/>
            </w:tcBorders>
          </w:tcPr>
          <w:p w:rsidR="00117FFA" w:rsidRDefault="00117FFA">
            <w:pPr>
              <w:rPr>
                <w:rFonts w:ascii="Arial" w:hAnsi="Arial" w:cs="Arial"/>
              </w:rPr>
            </w:pPr>
          </w:p>
        </w:tc>
        <w:tc>
          <w:tcPr>
            <w:tcW w:w="2430" w:type="dxa"/>
            <w:tcBorders>
              <w:top w:val="single" w:sz="6" w:space="0" w:color="C0C0C0"/>
              <w:left w:val="single" w:sz="6" w:space="0" w:color="auto"/>
              <w:bottom w:val="nil"/>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117FFA" w:rsidRDefault="00117FFA">
            <w:pPr>
              <w:rPr>
                <w:rFonts w:ascii="Arial" w:hAnsi="Arial" w:cs="Arial"/>
              </w:rPr>
            </w:pPr>
          </w:p>
        </w:tc>
        <w:tc>
          <w:tcPr>
            <w:tcW w:w="1260" w:type="dxa"/>
            <w:tcBorders>
              <w:top w:val="single" w:sz="6" w:space="0" w:color="C0C0C0"/>
              <w:left w:val="single" w:sz="6" w:space="0" w:color="auto"/>
              <w:bottom w:val="nil"/>
              <w:right w:val="single" w:sz="6" w:space="0" w:color="auto"/>
            </w:tcBorders>
          </w:tcPr>
          <w:p w:rsidR="00117FFA" w:rsidRDefault="00117FFA">
            <w:pPr>
              <w:rPr>
                <w:rFonts w:ascii="Arial" w:hAnsi="Arial" w:cs="Arial"/>
              </w:rPr>
            </w:pPr>
          </w:p>
        </w:tc>
      </w:tr>
      <w:tr w:rsidR="00117FFA">
        <w:tblPrEx>
          <w:tblCellMar>
            <w:top w:w="0" w:type="dxa"/>
            <w:bottom w:w="0" w:type="dxa"/>
          </w:tblCellMar>
        </w:tblPrEx>
        <w:trPr>
          <w:cantSplit/>
          <w:trHeight w:val="480"/>
        </w:trPr>
        <w:tc>
          <w:tcPr>
            <w:tcW w:w="7218" w:type="dxa"/>
            <w:gridSpan w:val="3"/>
            <w:tcBorders>
              <w:top w:val="single" w:sz="6" w:space="0" w:color="auto"/>
              <w:left w:val="single" w:sz="6" w:space="0" w:color="auto"/>
              <w:bottom w:val="single" w:sz="6" w:space="0" w:color="auto"/>
              <w:right w:val="single" w:sz="6" w:space="0" w:color="auto"/>
            </w:tcBorders>
          </w:tcPr>
          <w:p w:rsidR="00117FFA" w:rsidRDefault="00117FFA">
            <w:pPr>
              <w:spacing w:before="120"/>
              <w:jc w:val="right"/>
              <w:rPr>
                <w:b/>
                <w:bCs/>
                <w:sz w:val="22"/>
                <w:szCs w:val="22"/>
              </w:rPr>
            </w:pPr>
            <w:r>
              <w:rPr>
                <w:b/>
                <w:bCs/>
                <w:sz w:val="22"/>
                <w:szCs w:val="22"/>
              </w:rPr>
              <w:t xml:space="preserve">Total </w:t>
            </w:r>
          </w:p>
        </w:tc>
        <w:tc>
          <w:tcPr>
            <w:tcW w:w="1260" w:type="dxa"/>
            <w:tcBorders>
              <w:top w:val="single" w:sz="6" w:space="0" w:color="auto"/>
              <w:left w:val="single" w:sz="6" w:space="0" w:color="auto"/>
              <w:bottom w:val="single" w:sz="6" w:space="0" w:color="auto"/>
              <w:right w:val="single" w:sz="6" w:space="0" w:color="auto"/>
            </w:tcBorders>
          </w:tcPr>
          <w:p w:rsidR="00117FFA" w:rsidRDefault="00117FFA">
            <w:pP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117FFA" w:rsidRDefault="00117FFA">
            <w:pPr>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117FFA" w:rsidRDefault="00117FFA">
            <w:pPr>
              <w:rPr>
                <w:rFonts w:ascii="Arial" w:hAnsi="Arial" w:cs="Arial"/>
              </w:rPr>
            </w:pPr>
          </w:p>
        </w:tc>
      </w:tr>
      <w:tr w:rsidR="00117FFA">
        <w:tblPrEx>
          <w:tblCellMar>
            <w:top w:w="0" w:type="dxa"/>
            <w:bottom w:w="0" w:type="dxa"/>
          </w:tblCellMar>
        </w:tblPrEx>
        <w:tc>
          <w:tcPr>
            <w:tcW w:w="10998" w:type="dxa"/>
            <w:gridSpan w:val="6"/>
            <w:tcBorders>
              <w:top w:val="nil"/>
              <w:left w:val="nil"/>
              <w:bottom w:val="nil"/>
              <w:right w:val="nil"/>
            </w:tcBorders>
          </w:tcPr>
          <w:p w:rsidR="00117FFA" w:rsidRDefault="00117FFA">
            <w:pPr>
              <w:spacing w:before="120"/>
              <w:jc w:val="center"/>
              <w:rPr>
                <w:i/>
                <w:iCs/>
              </w:rPr>
            </w:pPr>
            <w:r>
              <w:rPr>
                <w:sz w:val="16"/>
                <w:szCs w:val="16"/>
              </w:rPr>
              <w:t>© 2004 Harvard Business School Publishing. All rights reserved.</w:t>
            </w:r>
          </w:p>
        </w:tc>
      </w:tr>
    </w:tbl>
    <w:p w:rsidR="00117FFA" w:rsidRDefault="00117FFA"/>
    <w:sectPr w:rsidR="00117FFA">
      <w:pgSz w:w="12240" w:h="15840"/>
      <w:pgMar w:top="48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AEF" w:usb1="C0007841" w:usb2="00000009" w:usb3="00000000" w:csb0="000001FF" w:csb1="00000000"/>
  </w:font>
  <w:font w:name="Tekt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09"/>
    <w:multiLevelType w:val="singleLevel"/>
    <w:tmpl w:val="00000000"/>
    <w:lvl w:ilvl="0">
      <w:start w:val="1"/>
      <w:numFmt w:val="bullet"/>
      <w:pStyle w:val="number"/>
      <w:lvlText w:val=""/>
      <w:lvlJc w:val="left"/>
      <w:pPr>
        <w:tabs>
          <w:tab w:val="num" w:pos="360"/>
        </w:tabs>
        <w:ind w:left="360" w:hanging="360"/>
      </w:pPr>
      <w:rPr>
        <w:rFonts w:ascii="Symbol" w:hAnsi="Symbol" w:cs="Symbol" w:hint="default"/>
      </w:rPr>
    </w:lvl>
  </w:abstractNum>
  <w:abstractNum w:abstractNumId="1">
    <w:nsid w:val="761F598D"/>
    <w:multiLevelType w:val="singleLevel"/>
    <w:tmpl w:val="00000000"/>
    <w:lvl w:ilvl="0">
      <w:start w:val="1"/>
      <w:numFmt w:val="bullet"/>
      <w:pStyle w:val="correc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C18"/>
    <w:rsid w:val="00117FFA"/>
    <w:rsid w:val="009A1C18"/>
    <w:rsid w:val="00B225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
    <w:name w:val="correct"/>
    <w:aliases w:val="cr"/>
    <w:basedOn w:val="BodyTextIndent2"/>
    <w:uiPriority w:val="99"/>
    <w:pPr>
      <w:numPr>
        <w:numId w:val="1"/>
      </w:numPr>
      <w:tabs>
        <w:tab w:val="left" w:pos="1440"/>
      </w:tabs>
      <w:spacing w:after="0" w:line="240" w:lineRule="auto"/>
    </w:pPr>
    <w:rPr>
      <w:sz w:val="36"/>
      <w:szCs w:val="3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sz w:val="20"/>
      <w:szCs w:val="20"/>
    </w:rPr>
  </w:style>
  <w:style w:type="paragraph" w:customStyle="1" w:styleId="tip">
    <w:name w:val="tip"/>
    <w:aliases w:val="ti"/>
    <w:basedOn w:val="correct"/>
    <w:uiPriority w:val="99"/>
    <w:pPr>
      <w:numPr>
        <w:numId w:val="0"/>
      </w:numPr>
      <w:pBdr>
        <w:top w:val="single" w:sz="6" w:space="4" w:color="auto" w:shadow="1"/>
        <w:left w:val="single" w:sz="6" w:space="4" w:color="auto" w:shadow="1"/>
        <w:bottom w:val="single" w:sz="6" w:space="4" w:color="auto" w:shadow="1"/>
        <w:right w:val="single" w:sz="6" w:space="4" w:color="auto" w:shadow="1"/>
      </w:pBdr>
      <w:shd w:val="pct20" w:color="auto" w:fill="FFFFFF"/>
      <w:spacing w:before="80" w:after="80"/>
      <w:ind w:left="1800" w:right="720"/>
    </w:pPr>
    <w:rPr>
      <w:rFonts w:ascii="Tekton" w:hAnsi="Tekton" w:cs="Tekton"/>
      <w:sz w:val="28"/>
      <w:szCs w:val="28"/>
    </w:rPr>
  </w:style>
  <w:style w:type="paragraph" w:customStyle="1" w:styleId="number">
    <w:name w:val="number"/>
    <w:aliases w:val="nu"/>
    <w:basedOn w:val="Normal"/>
    <w:uiPriority w:val="99"/>
    <w:pPr>
      <w:numPr>
        <w:numId w:val="3"/>
      </w:numPr>
    </w:pPr>
    <w:rPr>
      <w:sz w:val="32"/>
      <w:szCs w:val="32"/>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Company>Harvard Business School Press</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creator>Harvard ManageMentor</dc:creator>
  <cp:lastModifiedBy>Peter</cp:lastModifiedBy>
  <cp:revision>2</cp:revision>
  <cp:lastPrinted>2004-09-14T15:57:00Z</cp:lastPrinted>
  <dcterms:created xsi:type="dcterms:W3CDTF">2008-10-06T19:40:00Z</dcterms:created>
  <dcterms:modified xsi:type="dcterms:W3CDTF">2008-10-06T19:40:00Z</dcterms:modified>
</cp:coreProperties>
</file>